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06" w:rsidRPr="00B95C15" w:rsidRDefault="00624506" w:rsidP="001C3737">
      <w:pPr>
        <w:ind w:left="4395"/>
        <w:jc w:val="both"/>
        <w:rPr>
          <w:rFonts w:eastAsia="Calibri"/>
          <w:b/>
          <w:sz w:val="28"/>
          <w:szCs w:val="28"/>
        </w:rPr>
      </w:pPr>
      <w:r w:rsidRPr="00B95C15">
        <w:rPr>
          <w:rFonts w:eastAsia="Calibri"/>
          <w:noProof/>
          <w:sz w:val="32"/>
          <w:szCs w:val="32"/>
        </w:rPr>
        <w:drawing>
          <wp:inline distT="0" distB="0" distL="0" distR="0">
            <wp:extent cx="64770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06" w:rsidRPr="00B95C15" w:rsidRDefault="00624506" w:rsidP="00624506">
      <w:pPr>
        <w:widowControl w:val="0"/>
        <w:autoSpaceDE w:val="0"/>
        <w:autoSpaceDN w:val="0"/>
        <w:adjustRightInd w:val="0"/>
        <w:ind w:left="180" w:hanging="180"/>
        <w:jc w:val="center"/>
        <w:rPr>
          <w:rFonts w:eastAsia="Calibri"/>
          <w:b/>
          <w:color w:val="8064A2"/>
          <w:sz w:val="32"/>
          <w:szCs w:val="32"/>
        </w:rPr>
      </w:pPr>
      <w:r w:rsidRPr="00B95C15">
        <w:rPr>
          <w:rFonts w:eastAsia="Calibri"/>
          <w:b/>
          <w:color w:val="8064A2"/>
          <w:sz w:val="32"/>
          <w:szCs w:val="32"/>
        </w:rPr>
        <w:t>Министерство культуры Республики Дагестан</w:t>
      </w:r>
    </w:p>
    <w:p w:rsidR="00624506" w:rsidRPr="00B95C15" w:rsidRDefault="00624506" w:rsidP="00624506">
      <w:pPr>
        <w:widowControl w:val="0"/>
        <w:autoSpaceDE w:val="0"/>
        <w:autoSpaceDN w:val="0"/>
        <w:adjustRightInd w:val="0"/>
        <w:ind w:left="180" w:hanging="180"/>
        <w:jc w:val="center"/>
        <w:rPr>
          <w:rFonts w:eastAsia="Calibri"/>
          <w:b/>
          <w:bCs/>
          <w:color w:val="8064A2"/>
          <w:sz w:val="36"/>
          <w:szCs w:val="36"/>
        </w:rPr>
      </w:pPr>
      <w:r w:rsidRPr="00B95C15">
        <w:rPr>
          <w:rFonts w:eastAsia="Calibri"/>
          <w:b/>
          <w:bCs/>
          <w:color w:val="8064A2"/>
          <w:sz w:val="28"/>
          <w:szCs w:val="28"/>
        </w:rPr>
        <w:t>Государственное бюджетное учреждение</w:t>
      </w:r>
    </w:p>
    <w:p w:rsidR="00624506" w:rsidRPr="00B95C15" w:rsidRDefault="00624506" w:rsidP="00624506">
      <w:pPr>
        <w:widowControl w:val="0"/>
        <w:autoSpaceDE w:val="0"/>
        <w:autoSpaceDN w:val="0"/>
        <w:adjustRightInd w:val="0"/>
        <w:ind w:left="180" w:hanging="180"/>
        <w:jc w:val="center"/>
        <w:rPr>
          <w:rFonts w:eastAsia="Calibri"/>
          <w:b/>
          <w:bCs/>
          <w:color w:val="4F6228"/>
          <w:sz w:val="40"/>
          <w:szCs w:val="40"/>
        </w:rPr>
      </w:pPr>
      <w:r w:rsidRPr="00B95C15">
        <w:rPr>
          <w:rFonts w:eastAsia="Calibri"/>
          <w:b/>
          <w:bCs/>
          <w:color w:val="4F6228"/>
          <w:sz w:val="40"/>
          <w:szCs w:val="40"/>
        </w:rPr>
        <w:t xml:space="preserve">«Аварский музыкально-драматический театр им </w:t>
      </w:r>
    </w:p>
    <w:p w:rsidR="00624506" w:rsidRPr="00B95C15" w:rsidRDefault="00624506" w:rsidP="00624506">
      <w:pPr>
        <w:widowControl w:val="0"/>
        <w:autoSpaceDE w:val="0"/>
        <w:autoSpaceDN w:val="0"/>
        <w:adjustRightInd w:val="0"/>
        <w:ind w:left="180" w:hanging="180"/>
        <w:jc w:val="center"/>
        <w:rPr>
          <w:rFonts w:eastAsia="Calibri"/>
          <w:b/>
          <w:color w:val="9BBB59"/>
          <w:sz w:val="40"/>
          <w:szCs w:val="40"/>
        </w:rPr>
      </w:pPr>
      <w:r w:rsidRPr="00B95C15">
        <w:rPr>
          <w:rFonts w:eastAsia="Calibri"/>
          <w:b/>
          <w:bCs/>
          <w:color w:val="4F6228"/>
          <w:sz w:val="40"/>
          <w:szCs w:val="40"/>
        </w:rPr>
        <w:t>Г. Цадасы»</w:t>
      </w:r>
    </w:p>
    <w:p w:rsidR="00624506" w:rsidRPr="009D79BA" w:rsidRDefault="00624506" w:rsidP="006245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8064A2"/>
          <w:sz w:val="18"/>
          <w:szCs w:val="18"/>
        </w:rPr>
      </w:pPr>
      <w:r w:rsidRPr="00B95C15">
        <w:rPr>
          <w:rFonts w:eastAsia="Calibri"/>
          <w:b/>
          <w:color w:val="8064A2"/>
          <w:sz w:val="20"/>
          <w:szCs w:val="20"/>
        </w:rPr>
        <w:t>367000, г. Махачкала, ул. Пушкина, 1</w:t>
      </w:r>
      <w:r w:rsidR="00304A49">
        <w:rPr>
          <w:rFonts w:eastAsia="Calibri"/>
          <w:b/>
          <w:color w:val="8064A2"/>
          <w:sz w:val="20"/>
          <w:szCs w:val="20"/>
        </w:rPr>
        <w:t xml:space="preserve">    </w:t>
      </w:r>
      <w:r>
        <w:rPr>
          <w:rFonts w:eastAsia="Calibri"/>
          <w:b/>
          <w:color w:val="8064A2"/>
          <w:lang w:val="en-US"/>
        </w:rPr>
        <w:t>e</w:t>
      </w:r>
      <w:r w:rsidRPr="00213175">
        <w:rPr>
          <w:rFonts w:eastAsia="Calibri"/>
          <w:b/>
          <w:color w:val="8064A2"/>
        </w:rPr>
        <w:t>-</w:t>
      </w:r>
      <w:r>
        <w:rPr>
          <w:rFonts w:eastAsia="Calibri"/>
          <w:b/>
          <w:color w:val="8064A2"/>
          <w:lang w:val="en-US"/>
        </w:rPr>
        <w:t>mail</w:t>
      </w:r>
      <w:r>
        <w:rPr>
          <w:rFonts w:eastAsia="Calibri"/>
          <w:b/>
          <w:color w:val="8064A2"/>
        </w:rPr>
        <w:t>:</w:t>
      </w:r>
      <w:r w:rsidRPr="009D79BA">
        <w:rPr>
          <w:rFonts w:eastAsia="Calibri"/>
          <w:b/>
          <w:color w:val="8064A2"/>
          <w:sz w:val="20"/>
          <w:szCs w:val="20"/>
        </w:rPr>
        <w:t xml:space="preserve">avar-teatr@yandex.ru </w:t>
      </w:r>
      <w:r w:rsidR="00304A49">
        <w:rPr>
          <w:rFonts w:eastAsia="Calibri"/>
          <w:b/>
          <w:color w:val="8064A2"/>
          <w:sz w:val="20"/>
          <w:szCs w:val="20"/>
        </w:rPr>
        <w:t xml:space="preserve"> </w:t>
      </w:r>
      <w:r>
        <w:rPr>
          <w:rFonts w:eastAsia="Calibri"/>
          <w:b/>
          <w:color w:val="8064A2"/>
          <w:sz w:val="18"/>
          <w:szCs w:val="18"/>
        </w:rPr>
        <w:t>тел</w:t>
      </w:r>
      <w:r w:rsidRPr="009D79BA">
        <w:rPr>
          <w:rFonts w:eastAsia="Calibri"/>
          <w:b/>
          <w:color w:val="8064A2"/>
          <w:sz w:val="18"/>
          <w:szCs w:val="18"/>
        </w:rPr>
        <w:t>: (8722) 68-14-54</w:t>
      </w:r>
    </w:p>
    <w:p w:rsidR="00624506" w:rsidRPr="00B95C15" w:rsidRDefault="0031200C" w:rsidP="005C192F">
      <w:pPr>
        <w:widowControl w:val="0"/>
        <w:tabs>
          <w:tab w:val="left" w:pos="7655"/>
        </w:tabs>
        <w:autoSpaceDE w:val="0"/>
        <w:autoSpaceDN w:val="0"/>
        <w:adjustRightInd w:val="0"/>
        <w:ind w:right="-1"/>
        <w:jc w:val="center"/>
        <w:rPr>
          <w:rFonts w:eastAsia="Calibri"/>
          <w:b/>
        </w:rPr>
      </w:pPr>
      <w:r>
        <w:rPr>
          <w:rFonts w:eastAsia="Calibri"/>
          <w:noProof/>
          <w:sz w:val="20"/>
          <w:szCs w:val="20"/>
        </w:rPr>
        <w:pict>
          <v:line id="Прямая соединительная линия 81" o:spid="_x0000_s1026" style="position:absolute;left:0;text-align:left;flip:y;z-index:251659264;visibility:visible;mso-wrap-distance-top:-3e-5mm;mso-wrap-distance-bottom:-3e-5mm;mso-position-horizontal:left;mso-position-horizontal-relative:margin" from="0,6pt" to="48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" strokeweight="4.5pt">
            <v:stroke linestyle="thinThick"/>
            <w10:wrap anchorx="margin"/>
          </v:line>
        </w:pict>
      </w:r>
    </w:p>
    <w:p w:rsidR="00837E84" w:rsidRPr="00C26351" w:rsidRDefault="00C26351" w:rsidP="00C26351">
      <w:pPr>
        <w:tabs>
          <w:tab w:val="left" w:pos="6804"/>
        </w:tabs>
        <w:jc w:val="center"/>
        <w:rPr>
          <w:b/>
        </w:rPr>
      </w:pPr>
      <w:r w:rsidRPr="00C26351">
        <w:rPr>
          <w:b/>
        </w:rPr>
        <w:t>Исх. №</w:t>
      </w:r>
      <w:r w:rsidR="00DF6D45">
        <w:rPr>
          <w:b/>
        </w:rPr>
        <w:t xml:space="preserve"> 47</w:t>
      </w:r>
      <w:r w:rsidRPr="00C26351">
        <w:rPr>
          <w:b/>
        </w:rPr>
        <w:t xml:space="preserve">                                                                                   </w:t>
      </w:r>
      <w:r w:rsidR="00DF6D45">
        <w:rPr>
          <w:b/>
        </w:rPr>
        <w:t xml:space="preserve">                               18.05.2023</w:t>
      </w:r>
      <w:r w:rsidRPr="00C26351">
        <w:rPr>
          <w:b/>
        </w:rPr>
        <w:t xml:space="preserve"> г.</w:t>
      </w:r>
    </w:p>
    <w:p w:rsidR="004E16EA" w:rsidRDefault="004E16EA" w:rsidP="005C192F">
      <w:pPr>
        <w:tabs>
          <w:tab w:val="left" w:pos="6804"/>
        </w:tabs>
        <w:ind w:left="142"/>
      </w:pPr>
    </w:p>
    <w:p w:rsidR="004E16EA" w:rsidRDefault="004E16EA" w:rsidP="000033B8">
      <w:pPr>
        <w:tabs>
          <w:tab w:val="left" w:pos="6804"/>
        </w:tabs>
        <w:rPr>
          <w:b/>
          <w:sz w:val="28"/>
          <w:szCs w:val="28"/>
        </w:rPr>
      </w:pPr>
    </w:p>
    <w:p w:rsidR="004E16EA" w:rsidRDefault="004E16EA" w:rsidP="004E16EA">
      <w:pPr>
        <w:tabs>
          <w:tab w:val="left" w:pos="6804"/>
        </w:tabs>
        <w:ind w:left="142"/>
        <w:jc w:val="right"/>
        <w:rPr>
          <w:b/>
          <w:sz w:val="28"/>
          <w:szCs w:val="28"/>
        </w:rPr>
      </w:pPr>
    </w:p>
    <w:p w:rsidR="004E16EA" w:rsidRDefault="00C54C2F" w:rsidP="00C54C2F">
      <w:pPr>
        <w:tabs>
          <w:tab w:val="left" w:pos="6804"/>
        </w:tabs>
        <w:spacing w:line="276" w:lineRule="auto"/>
        <w:ind w:firstLine="851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«Аварский музыкально-драматический театр им. Г. Цадасы» в целях заключения договора аренды представляет информацию о наличии имущества, закрепленного за учреждением на правах оперативного управления, расположенному по адресу: </w:t>
      </w:r>
      <w:r>
        <w:rPr>
          <w:color w:val="000000"/>
          <w:spacing w:val="5"/>
          <w:sz w:val="28"/>
          <w:szCs w:val="28"/>
        </w:rPr>
        <w:t>Республика Дагестан, г. Махачкала, ул. Пушкина, 1.</w:t>
      </w:r>
    </w:p>
    <w:p w:rsidR="00CC25EA" w:rsidRDefault="00CC25EA" w:rsidP="00C54C2F">
      <w:pPr>
        <w:tabs>
          <w:tab w:val="left" w:pos="6804"/>
        </w:tabs>
        <w:spacing w:line="276" w:lineRule="auto"/>
        <w:ind w:firstLine="851"/>
        <w:jc w:val="both"/>
        <w:rPr>
          <w:color w:val="000000"/>
          <w:spacing w:val="5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5"/>
        <w:gridCol w:w="841"/>
        <w:gridCol w:w="1961"/>
        <w:gridCol w:w="1843"/>
        <w:gridCol w:w="3293"/>
        <w:gridCol w:w="1378"/>
      </w:tblGrid>
      <w:tr w:rsidR="00C54C2F" w:rsidTr="00E72943">
        <w:tc>
          <w:tcPr>
            <w:tcW w:w="595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41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1961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комнаты/</w:t>
            </w:r>
          </w:p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3293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1378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</w:t>
            </w:r>
          </w:p>
        </w:tc>
      </w:tr>
      <w:tr w:rsidR="00C54C2F" w:rsidTr="00E72943">
        <w:tc>
          <w:tcPr>
            <w:tcW w:w="595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C54C2F" w:rsidRDefault="00C54C2F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C54C2F" w:rsidRDefault="00C54C2F" w:rsidP="00E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(площадка на втором этаже)</w:t>
            </w:r>
          </w:p>
        </w:tc>
        <w:tc>
          <w:tcPr>
            <w:tcW w:w="1843" w:type="dxa"/>
          </w:tcPr>
          <w:p w:rsidR="00C54C2F" w:rsidRDefault="00C54C2F" w:rsidP="00E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3293" w:type="dxa"/>
          </w:tcPr>
          <w:p w:rsidR="00C54C2F" w:rsidRDefault="00C54C2F" w:rsidP="00E72943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Организация питания посетителей и работников организаций культуры</w:t>
            </w:r>
          </w:p>
        </w:tc>
        <w:tc>
          <w:tcPr>
            <w:tcW w:w="1378" w:type="dxa"/>
          </w:tcPr>
          <w:p w:rsidR="00C54C2F" w:rsidRDefault="00DF6D45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</w:tr>
      <w:tr w:rsidR="00C54C2F" w:rsidTr="00E72943">
        <w:tc>
          <w:tcPr>
            <w:tcW w:w="8533" w:type="dxa"/>
            <w:gridSpan w:val="5"/>
          </w:tcPr>
          <w:p w:rsidR="00C54C2F" w:rsidRDefault="00C54C2F" w:rsidP="00E729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8" w:type="dxa"/>
          </w:tcPr>
          <w:p w:rsidR="00C54C2F" w:rsidRDefault="00DF6D45" w:rsidP="00E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</w:tr>
    </w:tbl>
    <w:p w:rsidR="00C54C2F" w:rsidRDefault="00C54C2F" w:rsidP="00C54C2F">
      <w:pPr>
        <w:tabs>
          <w:tab w:val="left" w:pos="6804"/>
        </w:tabs>
        <w:spacing w:line="276" w:lineRule="auto"/>
        <w:jc w:val="both"/>
        <w:rPr>
          <w:sz w:val="28"/>
          <w:szCs w:val="28"/>
        </w:rPr>
      </w:pPr>
    </w:p>
    <w:p w:rsidR="00C54C2F" w:rsidRDefault="00DF6D45" w:rsidP="00C54C2F">
      <w:pPr>
        <w:pStyle w:val="a3"/>
        <w:numPr>
          <w:ilvl w:val="0"/>
          <w:numId w:val="18"/>
        </w:numPr>
        <w:tabs>
          <w:tab w:val="left" w:pos="6804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аренды: 7</w:t>
      </w:r>
      <w:r w:rsidR="00C54C2F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май – декабрь 2023</w:t>
      </w:r>
      <w:r w:rsidR="00C54C2F">
        <w:rPr>
          <w:sz w:val="28"/>
          <w:szCs w:val="28"/>
        </w:rPr>
        <w:t xml:space="preserve"> года;</w:t>
      </w:r>
    </w:p>
    <w:p w:rsidR="00C54C2F" w:rsidRDefault="00C54C2F" w:rsidP="00C54C2F">
      <w:pPr>
        <w:pStyle w:val="a3"/>
        <w:numPr>
          <w:ilvl w:val="0"/>
          <w:numId w:val="18"/>
        </w:numPr>
        <w:tabs>
          <w:tab w:val="left" w:pos="6804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арендной платы включая НДС: </w:t>
      </w:r>
      <w:r w:rsidR="00DF6D45">
        <w:rPr>
          <w:sz w:val="28"/>
          <w:szCs w:val="28"/>
        </w:rPr>
        <w:t>201 209 руб. 04 коп</w:t>
      </w:r>
      <w:r>
        <w:rPr>
          <w:sz w:val="28"/>
          <w:szCs w:val="28"/>
        </w:rPr>
        <w:t>;</w:t>
      </w:r>
    </w:p>
    <w:p w:rsidR="00C54C2F" w:rsidRPr="00606A89" w:rsidRDefault="00C54C2F" w:rsidP="00C54C2F">
      <w:pPr>
        <w:pStyle w:val="a3"/>
        <w:numPr>
          <w:ilvl w:val="0"/>
          <w:numId w:val="18"/>
        </w:numPr>
        <w:tabs>
          <w:tab w:val="left" w:pos="6804"/>
        </w:tabs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использования: </w:t>
      </w:r>
      <w:r>
        <w:rPr>
          <w:spacing w:val="-3"/>
          <w:sz w:val="28"/>
          <w:szCs w:val="28"/>
        </w:rPr>
        <w:t>организация питания посетителей и работников организаций культуры</w:t>
      </w:r>
      <w:r w:rsidR="00606A89">
        <w:rPr>
          <w:spacing w:val="-3"/>
          <w:sz w:val="28"/>
          <w:szCs w:val="28"/>
        </w:rPr>
        <w:t>.</w:t>
      </w:r>
    </w:p>
    <w:p w:rsidR="00606A89" w:rsidRDefault="00606A89" w:rsidP="00606A89">
      <w:pPr>
        <w:tabs>
          <w:tab w:val="left" w:pos="6804"/>
        </w:tabs>
        <w:spacing w:line="276" w:lineRule="auto"/>
        <w:jc w:val="both"/>
        <w:rPr>
          <w:sz w:val="28"/>
          <w:szCs w:val="28"/>
        </w:rPr>
      </w:pPr>
    </w:p>
    <w:p w:rsidR="00606A89" w:rsidRPr="000B4196" w:rsidRDefault="000033B8" w:rsidP="000033B8">
      <w:pPr>
        <w:tabs>
          <w:tab w:val="left" w:pos="680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Заявки,</w:t>
      </w:r>
      <w:r w:rsidR="00606A89">
        <w:rPr>
          <w:sz w:val="28"/>
          <w:szCs w:val="28"/>
        </w:rPr>
        <w:t xml:space="preserve"> оформленные в соответствии </w:t>
      </w:r>
      <w:r>
        <w:rPr>
          <w:sz w:val="28"/>
          <w:szCs w:val="28"/>
        </w:rPr>
        <w:t>с Правилами,</w:t>
      </w:r>
      <w:r w:rsidR="00606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постановлением Правительства РФ от 09.09.2021 года №1529 «Об утверждении Правил </w:t>
      </w:r>
      <w:r w:rsidR="00606A89">
        <w:rPr>
          <w:sz w:val="28"/>
          <w:szCs w:val="28"/>
        </w:rPr>
        <w:t>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или оперативного управления</w:t>
      </w:r>
      <w:r>
        <w:rPr>
          <w:sz w:val="28"/>
          <w:szCs w:val="28"/>
        </w:rPr>
        <w:t xml:space="preserve"> за государственными или муниципальными организациями культуры»</w:t>
      </w:r>
      <w:r w:rsidR="00606A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6A89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на</w:t>
      </w:r>
      <w:r w:rsidR="00606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</w:t>
      </w:r>
      <w:r w:rsidR="00606A89">
        <w:rPr>
          <w:sz w:val="28"/>
          <w:szCs w:val="28"/>
        </w:rPr>
        <w:t xml:space="preserve">по </w:t>
      </w:r>
      <w:r w:rsidR="00DF6D45">
        <w:rPr>
          <w:sz w:val="28"/>
          <w:szCs w:val="28"/>
        </w:rPr>
        <w:t>18</w:t>
      </w:r>
      <w:r w:rsidR="000B4196">
        <w:rPr>
          <w:sz w:val="28"/>
          <w:szCs w:val="28"/>
        </w:rPr>
        <w:t xml:space="preserve"> </w:t>
      </w:r>
      <w:r w:rsidR="00DF6D45">
        <w:rPr>
          <w:sz w:val="28"/>
          <w:szCs w:val="28"/>
        </w:rPr>
        <w:t>июня 2023</w:t>
      </w:r>
      <w:r w:rsidR="000B4196">
        <w:rPr>
          <w:sz w:val="28"/>
          <w:szCs w:val="28"/>
        </w:rPr>
        <w:t xml:space="preserve"> года включите</w:t>
      </w:r>
      <w:r w:rsidR="00DF6D45">
        <w:rPr>
          <w:sz w:val="28"/>
          <w:szCs w:val="28"/>
        </w:rPr>
        <w:t>льно на адрес электронной почты</w:t>
      </w:r>
      <w:r w:rsidR="000B4196">
        <w:rPr>
          <w:sz w:val="28"/>
          <w:szCs w:val="28"/>
        </w:rPr>
        <w:t xml:space="preserve">: </w:t>
      </w:r>
      <w:r w:rsidR="000B4196" w:rsidRPr="000B4196">
        <w:rPr>
          <w:b/>
          <w:sz w:val="28"/>
          <w:szCs w:val="28"/>
          <w:lang w:val="en-US"/>
        </w:rPr>
        <w:t>avar</w:t>
      </w:r>
      <w:r w:rsidR="000B4196" w:rsidRPr="000B4196">
        <w:rPr>
          <w:b/>
          <w:sz w:val="28"/>
          <w:szCs w:val="28"/>
        </w:rPr>
        <w:t>-</w:t>
      </w:r>
      <w:r w:rsidR="000B4196" w:rsidRPr="000B4196">
        <w:rPr>
          <w:b/>
          <w:sz w:val="28"/>
          <w:szCs w:val="28"/>
          <w:lang w:val="en-US"/>
        </w:rPr>
        <w:t>teatr</w:t>
      </w:r>
      <w:r w:rsidR="000B4196" w:rsidRPr="000B4196">
        <w:rPr>
          <w:b/>
          <w:sz w:val="28"/>
          <w:szCs w:val="28"/>
        </w:rPr>
        <w:t>@</w:t>
      </w:r>
      <w:r w:rsidR="000B4196" w:rsidRPr="000B4196">
        <w:rPr>
          <w:b/>
          <w:sz w:val="28"/>
          <w:szCs w:val="28"/>
          <w:lang w:val="en-US"/>
        </w:rPr>
        <w:t>yandex</w:t>
      </w:r>
      <w:r w:rsidR="000B4196" w:rsidRPr="000B4196">
        <w:rPr>
          <w:b/>
          <w:sz w:val="28"/>
          <w:szCs w:val="28"/>
        </w:rPr>
        <w:t>.</w:t>
      </w:r>
      <w:r w:rsidR="000B4196" w:rsidRPr="000B4196">
        <w:rPr>
          <w:b/>
          <w:sz w:val="28"/>
          <w:szCs w:val="28"/>
          <w:lang w:val="en-US"/>
        </w:rPr>
        <w:t>ru</w:t>
      </w:r>
    </w:p>
    <w:p w:rsidR="005F0ABD" w:rsidRPr="00C54C2F" w:rsidRDefault="005F0ABD" w:rsidP="00226DB5">
      <w:pPr>
        <w:tabs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:rsidR="000033B8" w:rsidRDefault="000033B8" w:rsidP="004E16EA">
      <w:pPr>
        <w:tabs>
          <w:tab w:val="left" w:pos="6804"/>
        </w:tabs>
        <w:ind w:left="142"/>
        <w:jc w:val="center"/>
        <w:rPr>
          <w:b/>
          <w:sz w:val="28"/>
          <w:szCs w:val="28"/>
        </w:rPr>
      </w:pPr>
    </w:p>
    <w:p w:rsidR="005F0ABD" w:rsidRPr="00C54C2F" w:rsidRDefault="005F0ABD" w:rsidP="004E16EA">
      <w:pPr>
        <w:tabs>
          <w:tab w:val="left" w:pos="6804"/>
        </w:tabs>
        <w:ind w:left="142"/>
        <w:jc w:val="center"/>
        <w:rPr>
          <w:b/>
          <w:sz w:val="28"/>
          <w:szCs w:val="28"/>
        </w:rPr>
      </w:pPr>
      <w:r w:rsidRPr="00C54C2F">
        <w:rPr>
          <w:b/>
          <w:sz w:val="28"/>
          <w:szCs w:val="28"/>
        </w:rPr>
        <w:t xml:space="preserve">Директор                         </w:t>
      </w:r>
      <w:r w:rsidR="00C54C2F">
        <w:rPr>
          <w:b/>
          <w:sz w:val="28"/>
          <w:szCs w:val="28"/>
        </w:rPr>
        <w:t xml:space="preserve">                                                   </w:t>
      </w:r>
      <w:r w:rsidR="001C3737" w:rsidRPr="00C54C2F">
        <w:rPr>
          <w:b/>
          <w:sz w:val="28"/>
          <w:szCs w:val="28"/>
        </w:rPr>
        <w:t>Алиев М.И.</w:t>
      </w:r>
    </w:p>
    <w:sectPr w:rsidR="005F0ABD" w:rsidRPr="00C54C2F" w:rsidSect="00CC25E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0C" w:rsidRDefault="0031200C" w:rsidP="003F4B4F">
      <w:r>
        <w:separator/>
      </w:r>
    </w:p>
  </w:endnote>
  <w:endnote w:type="continuationSeparator" w:id="0">
    <w:p w:rsidR="0031200C" w:rsidRDefault="0031200C" w:rsidP="003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0C" w:rsidRDefault="0031200C" w:rsidP="003F4B4F">
      <w:r>
        <w:separator/>
      </w:r>
    </w:p>
  </w:footnote>
  <w:footnote w:type="continuationSeparator" w:id="0">
    <w:p w:rsidR="0031200C" w:rsidRDefault="0031200C" w:rsidP="003F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D17"/>
    <w:multiLevelType w:val="hybridMultilevel"/>
    <w:tmpl w:val="996C54D4"/>
    <w:lvl w:ilvl="0" w:tplc="D70691E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15D89"/>
    <w:multiLevelType w:val="hybridMultilevel"/>
    <w:tmpl w:val="265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289"/>
    <w:multiLevelType w:val="hybridMultilevel"/>
    <w:tmpl w:val="7826B9DA"/>
    <w:lvl w:ilvl="0" w:tplc="60F03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52E5D"/>
    <w:multiLevelType w:val="hybridMultilevel"/>
    <w:tmpl w:val="A24AA3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9284A71"/>
    <w:multiLevelType w:val="hybridMultilevel"/>
    <w:tmpl w:val="35C2A57C"/>
    <w:lvl w:ilvl="0" w:tplc="768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C0C"/>
    <w:multiLevelType w:val="hybridMultilevel"/>
    <w:tmpl w:val="265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6DD2"/>
    <w:multiLevelType w:val="multilevel"/>
    <w:tmpl w:val="AE8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24B46"/>
    <w:multiLevelType w:val="hybridMultilevel"/>
    <w:tmpl w:val="C54A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5ADF"/>
    <w:multiLevelType w:val="hybridMultilevel"/>
    <w:tmpl w:val="FCC01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2D15"/>
    <w:multiLevelType w:val="hybridMultilevel"/>
    <w:tmpl w:val="77DE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3D74"/>
    <w:multiLevelType w:val="hybridMultilevel"/>
    <w:tmpl w:val="E09A14E8"/>
    <w:lvl w:ilvl="0" w:tplc="55286C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D5476"/>
    <w:multiLevelType w:val="hybridMultilevel"/>
    <w:tmpl w:val="A32C5AD6"/>
    <w:lvl w:ilvl="0" w:tplc="CA2A2A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CFB"/>
    <w:multiLevelType w:val="hybridMultilevel"/>
    <w:tmpl w:val="75A6E9E2"/>
    <w:lvl w:ilvl="0" w:tplc="EB4A0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DA13E6"/>
    <w:multiLevelType w:val="hybridMultilevel"/>
    <w:tmpl w:val="335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940F1"/>
    <w:multiLevelType w:val="multilevel"/>
    <w:tmpl w:val="512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2023D"/>
    <w:multiLevelType w:val="hybridMultilevel"/>
    <w:tmpl w:val="5E729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1090"/>
    <w:multiLevelType w:val="hybridMultilevel"/>
    <w:tmpl w:val="CCC2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3D30"/>
    <w:multiLevelType w:val="hybridMultilevel"/>
    <w:tmpl w:val="2A76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17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AF"/>
    <w:rsid w:val="000033B8"/>
    <w:rsid w:val="00010574"/>
    <w:rsid w:val="0001341B"/>
    <w:rsid w:val="00077D7D"/>
    <w:rsid w:val="00086F89"/>
    <w:rsid w:val="000A4866"/>
    <w:rsid w:val="000A5A51"/>
    <w:rsid w:val="000B23AF"/>
    <w:rsid w:val="000B3779"/>
    <w:rsid w:val="000B4196"/>
    <w:rsid w:val="000D05AD"/>
    <w:rsid w:val="000E65D1"/>
    <w:rsid w:val="0010534E"/>
    <w:rsid w:val="00145029"/>
    <w:rsid w:val="00186316"/>
    <w:rsid w:val="001946E1"/>
    <w:rsid w:val="001C3737"/>
    <w:rsid w:val="001D0AB2"/>
    <w:rsid w:val="001D1480"/>
    <w:rsid w:val="002048BF"/>
    <w:rsid w:val="00217BBD"/>
    <w:rsid w:val="00225A22"/>
    <w:rsid w:val="00226DB5"/>
    <w:rsid w:val="0024458B"/>
    <w:rsid w:val="002501DE"/>
    <w:rsid w:val="00257C82"/>
    <w:rsid w:val="00273D67"/>
    <w:rsid w:val="0028340A"/>
    <w:rsid w:val="00285F61"/>
    <w:rsid w:val="00290CBA"/>
    <w:rsid w:val="002B0D15"/>
    <w:rsid w:val="00304A49"/>
    <w:rsid w:val="0031200C"/>
    <w:rsid w:val="003247A3"/>
    <w:rsid w:val="00326972"/>
    <w:rsid w:val="00375849"/>
    <w:rsid w:val="003A17A5"/>
    <w:rsid w:val="003A6477"/>
    <w:rsid w:val="003C7DF9"/>
    <w:rsid w:val="003E00D5"/>
    <w:rsid w:val="003F4B4F"/>
    <w:rsid w:val="004013C3"/>
    <w:rsid w:val="00425DFD"/>
    <w:rsid w:val="00472D2E"/>
    <w:rsid w:val="00481B4F"/>
    <w:rsid w:val="0049098B"/>
    <w:rsid w:val="00492813"/>
    <w:rsid w:val="004949DC"/>
    <w:rsid w:val="004C2935"/>
    <w:rsid w:val="004D385B"/>
    <w:rsid w:val="004D6F52"/>
    <w:rsid w:val="004E16EA"/>
    <w:rsid w:val="0050596D"/>
    <w:rsid w:val="005541C6"/>
    <w:rsid w:val="00575480"/>
    <w:rsid w:val="005B2619"/>
    <w:rsid w:val="005C192F"/>
    <w:rsid w:val="005D3FFE"/>
    <w:rsid w:val="005D6221"/>
    <w:rsid w:val="005D70A2"/>
    <w:rsid w:val="005F0ABD"/>
    <w:rsid w:val="0060628A"/>
    <w:rsid w:val="00606A89"/>
    <w:rsid w:val="0062262A"/>
    <w:rsid w:val="00624506"/>
    <w:rsid w:val="00624F7D"/>
    <w:rsid w:val="00675249"/>
    <w:rsid w:val="00686CB9"/>
    <w:rsid w:val="006A089C"/>
    <w:rsid w:val="006B04C5"/>
    <w:rsid w:val="006B5F80"/>
    <w:rsid w:val="006E483C"/>
    <w:rsid w:val="006F3D26"/>
    <w:rsid w:val="00711FAC"/>
    <w:rsid w:val="007534AC"/>
    <w:rsid w:val="00780A8C"/>
    <w:rsid w:val="007B55B9"/>
    <w:rsid w:val="007C2399"/>
    <w:rsid w:val="00804256"/>
    <w:rsid w:val="00824D19"/>
    <w:rsid w:val="00837E84"/>
    <w:rsid w:val="008413BD"/>
    <w:rsid w:val="00846877"/>
    <w:rsid w:val="00857FDC"/>
    <w:rsid w:val="00876BBE"/>
    <w:rsid w:val="008A00D6"/>
    <w:rsid w:val="008C0C46"/>
    <w:rsid w:val="008E5A8A"/>
    <w:rsid w:val="008F371A"/>
    <w:rsid w:val="00947236"/>
    <w:rsid w:val="0096122F"/>
    <w:rsid w:val="00972B4D"/>
    <w:rsid w:val="00975F01"/>
    <w:rsid w:val="00977451"/>
    <w:rsid w:val="00980827"/>
    <w:rsid w:val="00983C9B"/>
    <w:rsid w:val="00986C85"/>
    <w:rsid w:val="00990128"/>
    <w:rsid w:val="009B4472"/>
    <w:rsid w:val="009E6931"/>
    <w:rsid w:val="009F3B7A"/>
    <w:rsid w:val="00A04637"/>
    <w:rsid w:val="00A30740"/>
    <w:rsid w:val="00A62FF7"/>
    <w:rsid w:val="00AC3B91"/>
    <w:rsid w:val="00AE0507"/>
    <w:rsid w:val="00AE2294"/>
    <w:rsid w:val="00AE2E0B"/>
    <w:rsid w:val="00B15519"/>
    <w:rsid w:val="00B46AE5"/>
    <w:rsid w:val="00B63F3A"/>
    <w:rsid w:val="00B64065"/>
    <w:rsid w:val="00B95660"/>
    <w:rsid w:val="00BD28AA"/>
    <w:rsid w:val="00BE644A"/>
    <w:rsid w:val="00BF1E92"/>
    <w:rsid w:val="00C05E19"/>
    <w:rsid w:val="00C26351"/>
    <w:rsid w:val="00C4799D"/>
    <w:rsid w:val="00C52774"/>
    <w:rsid w:val="00C54C2F"/>
    <w:rsid w:val="00C7557D"/>
    <w:rsid w:val="00C86CA0"/>
    <w:rsid w:val="00CA36FC"/>
    <w:rsid w:val="00CB676A"/>
    <w:rsid w:val="00CC0D1E"/>
    <w:rsid w:val="00CC19B5"/>
    <w:rsid w:val="00CC25EA"/>
    <w:rsid w:val="00CE17DC"/>
    <w:rsid w:val="00CF4512"/>
    <w:rsid w:val="00CF681C"/>
    <w:rsid w:val="00D02824"/>
    <w:rsid w:val="00D27516"/>
    <w:rsid w:val="00D953BD"/>
    <w:rsid w:val="00DA6B93"/>
    <w:rsid w:val="00DB4538"/>
    <w:rsid w:val="00DB4A96"/>
    <w:rsid w:val="00DC3C19"/>
    <w:rsid w:val="00DE74F3"/>
    <w:rsid w:val="00DF6D45"/>
    <w:rsid w:val="00E12842"/>
    <w:rsid w:val="00E21C3D"/>
    <w:rsid w:val="00E309DB"/>
    <w:rsid w:val="00E40A08"/>
    <w:rsid w:val="00E42EA1"/>
    <w:rsid w:val="00E4673F"/>
    <w:rsid w:val="00E54947"/>
    <w:rsid w:val="00E764B3"/>
    <w:rsid w:val="00E93D26"/>
    <w:rsid w:val="00EA06A8"/>
    <w:rsid w:val="00F418AA"/>
    <w:rsid w:val="00F425B1"/>
    <w:rsid w:val="00F53359"/>
    <w:rsid w:val="00F82A19"/>
    <w:rsid w:val="00F83110"/>
    <w:rsid w:val="00F9634E"/>
    <w:rsid w:val="00FD43B3"/>
    <w:rsid w:val="00FD5259"/>
    <w:rsid w:val="00FE0221"/>
    <w:rsid w:val="00FE11B7"/>
    <w:rsid w:val="00FE3B19"/>
    <w:rsid w:val="00FE78F6"/>
    <w:rsid w:val="00FF2A3B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41E0F"/>
  <w15:docId w15:val="{CA1DD642-9B51-4606-8AFF-F6515D07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57FD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4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4458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472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687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F4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D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3D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72B4D"/>
    <w:rPr>
      <w:b/>
      <w:bCs/>
    </w:rPr>
  </w:style>
  <w:style w:type="character" w:styleId="ad">
    <w:name w:val="Emphasis"/>
    <w:basedOn w:val="a0"/>
    <w:uiPriority w:val="20"/>
    <w:qFormat/>
    <w:rsid w:val="00972B4D"/>
    <w:rPr>
      <w:i/>
      <w:iCs/>
    </w:rPr>
  </w:style>
  <w:style w:type="table" w:styleId="ae">
    <w:name w:val="Table Grid"/>
    <w:basedOn w:val="a1"/>
    <w:uiPriority w:val="59"/>
    <w:rsid w:val="00C5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5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0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2022-03-28T07:25:00Z</cp:lastPrinted>
  <dcterms:created xsi:type="dcterms:W3CDTF">2020-11-25T07:04:00Z</dcterms:created>
  <dcterms:modified xsi:type="dcterms:W3CDTF">2023-05-18T12:12:00Z</dcterms:modified>
</cp:coreProperties>
</file>